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/>
      </w:pPr>
      <w:bookmarkStart w:id="0" w:name="_GoBack"/>
      <w:bookmarkEnd w:id="0"/>
      <w:r>
        <w:rPr/>
        <w:drawing>
          <wp:inline distB="0" distL="0" distR="0" distT="0">
            <wp:extent cx="1828800" cy="571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  <w:spacing w:after="0" w:before="0"/>
      </w:pPr>
      <w:r>
        <w:rPr>
          <w:sz w:val="24"/>
          <w:b/>
          <w:szCs w:val="24"/>
          <w:bCs/>
          <w:rFonts w:ascii="Times New Roman" w:hAnsi="Times New Roman"/>
        </w:rPr>
        <w:t xml:space="preserve">     </w:t>
      </w:r>
      <w:r>
        <w:rPr>
          <w:sz w:val="24"/>
          <w:b/>
          <w:szCs w:val="24"/>
          <w:bCs/>
          <w:rFonts w:ascii="Times New Roman" w:hAnsi="Times New Roman"/>
        </w:rPr>
        <w:t>országgyűlési képviselő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Tisztelt Polt Péter Legfőbb Ügyész Úr!</w:t>
      </w:r>
    </w:p>
    <w:p>
      <w:pPr>
        <w:pStyle w:val="style0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A Jobbik Magyarországért Mozgalom ezúton hívja fel a Legfőbb Ügyész Úr figyelmét arra, hogy közérdekű kereset megindításának lehetősége áll fenn a pénzügyi szervezetek felügyeletét ellátó MNB tevékenységének vonatkozásában. Ennek indoka, hogy a nemrégiben feltárt évtizedekre visszanyúló, mondhatjuk minden idők legnagyobb brókerbotrány-sorozatában az MNB illetékeseinek részéről súlyos mulasztás történt, az MNB felelőssége egyértelműen megállapítható.</w:t>
      </w:r>
    </w:p>
    <w:p>
      <w:pPr>
        <w:pStyle w:val="style0"/>
        <w:jc w:val="both"/>
        <w:spacing w:line="360" w:lineRule="atLeast"/>
      </w:pPr>
      <w:r>
        <w:rPr>
          <w:rStyle w:val="style17"/>
          <w:sz w:val="24"/>
          <w:i/>
          <w:szCs w:val="24"/>
          <w:rFonts w:ascii="Times New Roman" w:cs="Times New Roman" w:hAnsi="Times New Roman"/>
        </w:rPr>
        <w:t>A PSZÁF, majd 2013 októbere után a felügyeleti jogokat gyakorló MNB több súlyos szakmai mulasztást is elkövetett, valódi és felelős felügyeleti ellenőrzés mellett ekkora fiktív összeg mozgása nem fordulhatott volna elő a pénzpiacon.</w:t>
      </w:r>
    </w:p>
    <w:p>
      <w:pPr>
        <w:pStyle w:val="style25"/>
        <w:jc w:val="both"/>
        <w:spacing w:line="360" w:lineRule="atLeast"/>
      </w:pPr>
      <w:r>
        <w:rPr/>
        <w:t xml:space="preserve">Egy példát említve, köztudott, hogy az MNB már 2013 óta rengeteg problémáról tudott a Quaestor Értékpapír Zrt.-nél. </w:t>
      </w:r>
    </w:p>
    <w:p>
      <w:pPr>
        <w:pStyle w:val="style25"/>
        <w:jc w:val="both"/>
        <w:spacing w:line="360" w:lineRule="atLeast"/>
      </w:pPr>
      <w:r>
        <w:rPr/>
        <w:t>A felügyelet 2013-ban már felfedezte, hogy komoly gond van a nyilvántartásokkal a Quaestornál. Az MNB azonban később engedélyt adott a Quaestornak újabb 70 milliárd forint értékű, fedezet nélküli kötvénykibocsátásra anélkül, hogy figyelembe vette volna a brókercégénél található korábbi hiányosságokat, amit már a PSZÁF megállapított.</w:t>
      </w:r>
    </w:p>
    <w:p>
      <w:pPr>
        <w:pStyle w:val="style0"/>
        <w:jc w:val="both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A Magyar Nemzeti Bank felügyeleti tevékenységében eljáró alkalmazottai a Btk. 459. § (1) bekezdés 11. pont k) alpontja szerint hivatalos személynek minősülnek, ezáltal a Btk. 305. § a), illetőleg c) pontjaiban büntetni rendelt hivatali visszaélés bűntettének gyanúja felmerül a részükről. Továbbá, amennyiben beigazolódik, hogy jogtalan hátrányokozási célzattal hivatali kötelességüket megszegték vagy hivatali helyzetükkel visszaéltek, ezen személyek vonatkozásában hivatali bűncselekmény elkövetéséről beszélhetünk.</w:t>
      </w:r>
    </w:p>
    <w:p>
      <w:pPr>
        <w:pStyle w:val="style25"/>
        <w:jc w:val="both"/>
        <w:spacing w:line="360" w:lineRule="atLeast"/>
      </w:pPr>
      <w:r>
        <w:rPr/>
        <w:t>Mindent összefoglalva a hivatkozott csalássorozatban kimondhatjuk, hogy az MNB felügyeleti szerve mulasztott, amely miatt felelőssége egyértelműen megállapítható és ezért kérjük a Legfőbb Ügyész Urat, hogy indítson közérdekű keresetet az MNB-vel szemben, valamint kötelezze a jegybankot a nyereségének a terhére történő kártalanításra.</w:t>
      </w:r>
    </w:p>
    <w:p>
      <w:pPr>
        <w:pStyle w:val="style25"/>
        <w:jc w:val="both"/>
        <w:spacing w:line="360" w:lineRule="atLeast"/>
      </w:pPr>
      <w:r>
        <w:rPr/>
      </w:r>
    </w:p>
    <w:p>
      <w:pPr>
        <w:pStyle w:val="style25"/>
        <w:jc w:val="both"/>
        <w:spacing w:line="360" w:lineRule="atLeast"/>
      </w:pPr>
      <w:r>
        <w:rPr/>
        <w:t>Budapest, 2015. szeptember 9.</w:t>
      </w:r>
    </w:p>
    <w:p>
      <w:pPr>
        <w:pStyle w:val="style25"/>
        <w:jc w:val="both"/>
        <w:ind w:hanging="0" w:left="-426" w:right="0"/>
        <w:spacing w:line="360" w:lineRule="atLeast"/>
      </w:pPr>
      <w:r>
        <w:rPr/>
        <w:tab/>
        <w:tab/>
        <w:tab/>
        <w:t>Tisztelettel:</w:t>
      </w:r>
    </w:p>
    <w:p>
      <w:pPr>
        <w:pStyle w:val="style25"/>
        <w:jc w:val="both"/>
        <w:ind w:firstLine="2829" w:left="1418" w:right="-284"/>
        <w:spacing w:after="28" w:before="28"/>
      </w:pPr>
      <w:r>
        <w:rPr/>
        <w:t xml:space="preserve">  </w:t>
      </w:r>
      <w:r>
        <w:rPr/>
        <w:t>_______________________</w:t>
        <w:tab/>
        <w:tab/>
        <w:tab/>
        <w:tab/>
        <w:t xml:space="preserve">                                                  Volner János</w:t>
        <w:tab/>
        <w:tab/>
      </w:r>
    </w:p>
    <w:p>
      <w:pPr>
        <w:pStyle w:val="style25"/>
        <w:jc w:val="both"/>
        <w:ind w:firstLine="2829" w:left="1418" w:right="-284"/>
        <w:spacing w:after="28" w:before="28"/>
      </w:pPr>
      <w:r>
        <w:rPr/>
        <w:t xml:space="preserve">       </w:t>
      </w:r>
      <w:r>
        <w:rPr/>
        <w:t>országgyűlési képviselő</w:t>
      </w:r>
    </w:p>
    <w:p>
      <w:pPr>
        <w:pStyle w:val="style25"/>
        <w:jc w:val="both"/>
        <w:ind w:firstLine="2829" w:left="1418" w:right="-284"/>
        <w:spacing w:after="28" w:before="28"/>
      </w:pPr>
      <w:r>
        <w:rPr/>
        <w:t>Jobbik Magyarországért Mozgalom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head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26"/>
    </w:pPr>
    <w:r>
      <w:rPr/>
    </w:r>
  </w:p>
  <w:p>
    <w:pPr>
      <w:pStyle w:val="style26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Internet-hivatkozás"/>
    <w:basedOn w:val="style15"/>
    <w:next w:val="style16"/>
    <w:rPr>
      <w:color w:val="0000FF"/>
      <w:u w:val="single"/>
      <w:lang w:bidi="hu-HU" w:eastAsia="hu-HU" w:val="hu-HU"/>
    </w:rPr>
  </w:style>
  <w:style w:styleId="style17" w:type="character">
    <w:name w:val="Hangsúlyozás"/>
    <w:basedOn w:val="style15"/>
    <w:next w:val="style17"/>
    <w:rPr>
      <w:i/>
      <w:iCs/>
    </w:rPr>
  </w:style>
  <w:style w:styleId="style18" w:type="character">
    <w:name w:val="Élőfej Char"/>
    <w:basedOn w:val="style15"/>
    <w:next w:val="style18"/>
    <w:rPr/>
  </w:style>
  <w:style w:styleId="style19" w:type="character">
    <w:name w:val="Élőláb Char"/>
    <w:basedOn w:val="style15"/>
    <w:next w:val="style19"/>
    <w:rPr/>
  </w:style>
  <w:style w:styleId="style20" w:type="paragraph">
    <w:name w:val="Címsor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Szövegtörzs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Felirat"/>
    <w:basedOn w:val="style0"/>
    <w:next w:val="style23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4" w:type="paragraph">
    <w:name w:val="Tárgymutató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/>
    <w:rPr/>
  </w:style>
  <w:style w:styleId="style26" w:type="paragraph">
    <w:name w:val="Élőfej"/>
    <w:basedOn w:val="style0"/>
    <w:next w:val="style26"/>
    <w:pPr>
      <w:tabs>
        <w:tab w:leader="none" w:pos="4536" w:val="center"/>
        <w:tab w:leader="none" w:pos="9072" w:val="right"/>
      </w:tabs>
      <w:suppressLineNumbers/>
      <w:spacing w:after="0" w:before="0" w:line="100" w:lineRule="atLeast"/>
    </w:pPr>
    <w:rPr/>
  </w:style>
  <w:style w:styleId="style27" w:type="paragraph">
    <w:name w:val="Élőláb"/>
    <w:basedOn w:val="style0"/>
    <w:next w:val="style27"/>
    <w:pPr>
      <w:tabs>
        <w:tab w:leader="none" w:pos="4536" w:val="center"/>
        <w:tab w:leader="none" w:pos="9072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2015-09-09T12:05:00.00Z</dcterms:created>
  <dc:creator>Kerék-Beleznay Zsuzsanna</dc:creator>
  <cp:lastModifiedBy>Kerék-Beleznay Zsuzsanna</cp:lastModifiedBy>
  <dcterms:modified xsi:type="dcterms:W3CDTF">2015-09-09T12:05:00.00Z</dcterms:modified>
  <cp:revision>2</cp:revision>
</cp:coreProperties>
</file>